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80" w:rsidRPr="00791880" w:rsidRDefault="00791880" w:rsidP="00B11CC1">
      <w:pPr>
        <w:jc w:val="center"/>
        <w:rPr>
          <w:rFonts w:ascii="Cambria" w:eastAsia="Times New Roman" w:hAnsi="Cambria" w:cs="Times New Roman"/>
          <w:b/>
          <w:color w:val="000000"/>
          <w:sz w:val="24"/>
          <w:szCs w:val="24"/>
          <w:lang w:val="en-GB"/>
        </w:rPr>
      </w:pPr>
      <w:bookmarkStart w:id="0" w:name="_GoBack"/>
      <w:bookmarkEnd w:id="0"/>
      <w:r w:rsidRPr="00791880">
        <w:rPr>
          <w:rFonts w:ascii="Garamond" w:hAnsi="Garamond"/>
          <w:b/>
          <w:sz w:val="24"/>
          <w:szCs w:val="24"/>
        </w:rPr>
        <w:t>ANNUAL REPORT</w:t>
      </w:r>
      <w:r w:rsidRPr="00791880">
        <w:rPr>
          <w:rFonts w:ascii="Cambria" w:eastAsia="Times New Roman" w:hAnsi="Cambria" w:cs="Times New Roman"/>
          <w:b/>
          <w:color w:val="000000"/>
          <w:sz w:val="24"/>
          <w:szCs w:val="24"/>
          <w:lang w:val="en-GB"/>
        </w:rPr>
        <w:t xml:space="preserve"> </w:t>
      </w:r>
    </w:p>
    <w:p w:rsidR="00B11CC1" w:rsidRPr="00791880" w:rsidRDefault="00791880" w:rsidP="00B11CC1">
      <w:pPr>
        <w:jc w:val="center"/>
        <w:rPr>
          <w:rFonts w:ascii="Garamond" w:hAnsi="Garamond"/>
          <w:sz w:val="24"/>
          <w:szCs w:val="24"/>
        </w:rPr>
      </w:pPr>
      <w:r w:rsidRPr="00C81C6B">
        <w:rPr>
          <w:rFonts w:ascii="Cambria" w:eastAsia="Times New Roman" w:hAnsi="Cambria" w:cs="Times New Roman"/>
          <w:b/>
          <w:color w:val="000000"/>
          <w:sz w:val="24"/>
          <w:szCs w:val="24"/>
          <w:lang w:val="en-GB"/>
        </w:rPr>
        <w:t>DEPARTMENT OF AGICULTURAL ECONOMICS</w:t>
      </w:r>
    </w:p>
    <w:p w:rsidR="005D4BC1" w:rsidRPr="00C81C6B" w:rsidRDefault="005D4BC1" w:rsidP="00C81C6B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Cambria" w:eastAsia="Times New Roman" w:hAnsi="Cambria" w:cs="Times New Roman"/>
          <w:b/>
          <w:sz w:val="24"/>
          <w:szCs w:val="24"/>
          <w:lang w:val="en-GB"/>
        </w:rPr>
      </w:pPr>
      <w:r w:rsidRPr="00C81C6B">
        <w:rPr>
          <w:rFonts w:ascii="Cambria" w:eastAsia="Times New Roman" w:hAnsi="Cambria" w:cs="Times New Roman"/>
          <w:b/>
          <w:sz w:val="24"/>
          <w:szCs w:val="24"/>
          <w:lang w:val="en-GB"/>
        </w:rPr>
        <w:t xml:space="preserve">BRIEF INTRODUCTION– </w:t>
      </w:r>
    </w:p>
    <w:p w:rsidR="00AA0167" w:rsidRDefault="00324C31" w:rsidP="00AA0167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The m</w:t>
      </w:r>
      <w:r w:rsidR="005D4BC1" w:rsidRPr="005D4B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andate of the </w:t>
      </w:r>
      <w:r w:rsidR="005D4BC1"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Department of Agricultural Economics</w:t>
      </w:r>
      <w:r w:rsidR="005D4BC1" w:rsidRPr="005D4BC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</w:t>
      </w:r>
      <w:r w:rsidR="005D4BC1" w:rsidRPr="005D4BC1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Teaching and Learning, Research and Innovation, Consultancy and Community Service</w:t>
      </w:r>
      <w:r w:rsidR="00AA0167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 xml:space="preserve">. </w:t>
      </w:r>
      <w:r w:rsidR="00AA0167">
        <w:rPr>
          <w:rFonts w:ascii="Garamond" w:hAnsi="Garamond"/>
          <w:sz w:val="24"/>
          <w:szCs w:val="24"/>
        </w:rPr>
        <w:t xml:space="preserve">It also provides </w:t>
      </w:r>
      <w:r w:rsidR="00AA0167" w:rsidRPr="008D7FA2">
        <w:rPr>
          <w:rFonts w:ascii="Garamond" w:hAnsi="Garamond"/>
          <w:sz w:val="24"/>
          <w:szCs w:val="24"/>
        </w:rPr>
        <w:t>project and supervision work</w:t>
      </w:r>
      <w:r w:rsidR="00AA0167">
        <w:rPr>
          <w:rFonts w:ascii="Garamond" w:hAnsi="Garamond"/>
          <w:sz w:val="24"/>
          <w:szCs w:val="24"/>
        </w:rPr>
        <w:t xml:space="preserve">, </w:t>
      </w:r>
      <w:r w:rsidR="00AA0167" w:rsidRPr="008D7FA2">
        <w:rPr>
          <w:rFonts w:ascii="Garamond" w:hAnsi="Garamond"/>
          <w:sz w:val="24"/>
          <w:szCs w:val="24"/>
        </w:rPr>
        <w:t>Youth internship</w:t>
      </w:r>
      <w:r w:rsidR="00AA0167">
        <w:rPr>
          <w:rFonts w:ascii="Garamond" w:hAnsi="Garamond"/>
          <w:sz w:val="24"/>
          <w:szCs w:val="24"/>
        </w:rPr>
        <w:t xml:space="preserve">, and </w:t>
      </w:r>
      <w:r w:rsidR="00AA0167" w:rsidRPr="008D7FA2">
        <w:rPr>
          <w:rFonts w:ascii="Garamond" w:hAnsi="Garamond"/>
          <w:sz w:val="24"/>
          <w:szCs w:val="24"/>
        </w:rPr>
        <w:t xml:space="preserve">Mentorship services </w:t>
      </w:r>
    </w:p>
    <w:p w:rsidR="00AA0167" w:rsidRPr="008D7FA2" w:rsidRDefault="00AA0167" w:rsidP="00AA0167">
      <w:pPr>
        <w:pStyle w:val="NoSpacing"/>
        <w:rPr>
          <w:rFonts w:ascii="Garamond" w:hAnsi="Garamond"/>
          <w:sz w:val="24"/>
          <w:szCs w:val="24"/>
        </w:rPr>
      </w:pPr>
    </w:p>
    <w:p w:rsidR="005D4BC1" w:rsidRPr="005D4BC1" w:rsidRDefault="005D4BC1" w:rsidP="005D4BC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1C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Its </w:t>
      </w:r>
      <w:r w:rsidRPr="005D4BC1">
        <w:rPr>
          <w:rFonts w:ascii="Times New Roman" w:eastAsia="Times New Roman" w:hAnsi="Times New Roman" w:cs="Times New Roman"/>
          <w:sz w:val="24"/>
          <w:szCs w:val="24"/>
          <w:lang w:val="en-GB"/>
        </w:rPr>
        <w:t>Vision</w:t>
      </w:r>
      <w:r w:rsidRPr="00C81C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t</w:t>
      </w: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o be an international centre of excellence in agricultural and applied economics training, research and extension, and outreach for the realization of sustainable livelihoods for all.</w:t>
      </w:r>
    </w:p>
    <w:p w:rsidR="005D4BC1" w:rsidRPr="005D4BC1" w:rsidRDefault="005D4BC1" w:rsidP="005D4BC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C81C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Whereas the </w:t>
      </w:r>
      <w:r w:rsidRPr="005D4BC1">
        <w:rPr>
          <w:rFonts w:ascii="Times New Roman" w:eastAsia="Times New Roman" w:hAnsi="Times New Roman" w:cs="Times New Roman"/>
          <w:sz w:val="24"/>
          <w:szCs w:val="24"/>
          <w:lang w:val="en-GB"/>
        </w:rPr>
        <w:t>Mission</w:t>
      </w:r>
      <w:r w:rsidR="00C81C6B" w:rsidRPr="00C81C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is to</w:t>
      </w: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be an international centre of excellence in agricultural and applied economics training, research and extension, and outreach for the realization of sustainable livelihoods for all.</w:t>
      </w:r>
    </w:p>
    <w:p w:rsidR="005D4BC1" w:rsidRPr="00C81C6B" w:rsidRDefault="005D4BC1" w:rsidP="005D4B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703B1C" w:rsidRPr="00791880" w:rsidRDefault="005D4BC1" w:rsidP="00791880">
      <w:pPr>
        <w:pStyle w:val="NormalWeb"/>
        <w:shd w:val="clear" w:color="auto" w:fill="FFFFFF"/>
        <w:spacing w:before="120" w:after="0"/>
        <w:jc w:val="both"/>
        <w:rPr>
          <w:color w:val="1D2228"/>
        </w:rPr>
      </w:pPr>
      <w:r w:rsidRPr="00C81C6B">
        <w:rPr>
          <w:color w:val="1D2228"/>
        </w:rPr>
        <w:t>The Department participates in the Collaborative Agricultural and Applied Economics MSC progr</w:t>
      </w:r>
      <w:r w:rsidR="00C81C6B" w:rsidRPr="00C81C6B">
        <w:rPr>
          <w:color w:val="1D2228"/>
        </w:rPr>
        <w:t xml:space="preserve">amme that is partially funded by Africa Economic Research Consortium (AERC) and it </w:t>
      </w:r>
      <w:r w:rsidRPr="00C81C6B">
        <w:rPr>
          <w:color w:val="1D2228"/>
        </w:rPr>
        <w:t>has been performing exceptionally very well in the third semester at the Shared Facility for Specialization and Electives (SFSE)</w:t>
      </w:r>
      <w:r w:rsidR="00C81C6B" w:rsidRPr="00C81C6B">
        <w:rPr>
          <w:color w:val="1D2228"/>
        </w:rPr>
        <w:t>, University of Pretoria. For instance, w</w:t>
      </w:r>
      <w:r w:rsidRPr="00C81C6B">
        <w:rPr>
          <w:color w:val="1D2228"/>
        </w:rPr>
        <w:t>ith the exemplary performance of our students, University of Nairobi was ranked Position 1 overall out of eight (8) major universities in Eastern and Sou</w:t>
      </w:r>
      <w:r w:rsidR="00C81C6B" w:rsidRPr="00C81C6B">
        <w:rPr>
          <w:color w:val="1D2228"/>
        </w:rPr>
        <w:t>thern Africa</w:t>
      </w:r>
      <w:r w:rsidRPr="00C81C6B">
        <w:rPr>
          <w:color w:val="1D2228"/>
        </w:rPr>
        <w:t xml:space="preserve"> and scored an average of 75.5%. This is a repeat of our performance and ranking in 2017 when the University also produced the </w:t>
      </w:r>
      <w:r w:rsidR="00C81C6B" w:rsidRPr="00C81C6B">
        <w:rPr>
          <w:color w:val="1D2228"/>
        </w:rPr>
        <w:t xml:space="preserve">top three students at the SFSE. </w:t>
      </w:r>
      <w:r w:rsidRPr="00C81C6B">
        <w:rPr>
          <w:color w:val="1D2228"/>
        </w:rPr>
        <w:t xml:space="preserve">In 2019 </w:t>
      </w:r>
      <w:r w:rsidR="00C81C6B" w:rsidRPr="00C81C6B">
        <w:rPr>
          <w:color w:val="1D2228"/>
        </w:rPr>
        <w:t>the Department</w:t>
      </w:r>
      <w:r w:rsidRPr="00C81C6B">
        <w:rPr>
          <w:color w:val="1D2228"/>
        </w:rPr>
        <w:t xml:space="preserve"> also produced the second top student. It is also important to note that 8 out of 11 students (73%) scored over 70%, which has not b</w:t>
      </w:r>
      <w:r w:rsidR="00791880">
        <w:rPr>
          <w:color w:val="1D2228"/>
        </w:rPr>
        <w:t>een achieved in the past years.</w:t>
      </w:r>
    </w:p>
    <w:p w:rsidR="00703B1C" w:rsidRDefault="00703B1C" w:rsidP="00B11CC1">
      <w:pPr>
        <w:jc w:val="center"/>
        <w:rPr>
          <w:rFonts w:ascii="Garamond" w:hAnsi="Garamond"/>
          <w:b/>
          <w:sz w:val="24"/>
          <w:szCs w:val="24"/>
        </w:rPr>
      </w:pPr>
    </w:p>
    <w:p w:rsidR="009374C8" w:rsidRPr="00C81C6B" w:rsidRDefault="005D4BC1" w:rsidP="00C81C6B">
      <w:pPr>
        <w:pStyle w:val="ListParagraph"/>
        <w:numPr>
          <w:ilvl w:val="0"/>
          <w:numId w:val="11"/>
        </w:numPr>
        <w:rPr>
          <w:rFonts w:ascii="Garamond" w:hAnsi="Garamond"/>
          <w:b/>
          <w:sz w:val="24"/>
          <w:szCs w:val="24"/>
        </w:rPr>
      </w:pPr>
      <w:r w:rsidRPr="00C81C6B">
        <w:rPr>
          <w:rFonts w:ascii="Garamond" w:hAnsi="Garamond"/>
          <w:b/>
          <w:sz w:val="24"/>
          <w:szCs w:val="24"/>
        </w:rPr>
        <w:t>PROGRAMMES OFFERED</w:t>
      </w:r>
    </w:p>
    <w:p w:rsidR="009374C8" w:rsidRPr="008D7FA2" w:rsidRDefault="009374C8" w:rsidP="009374C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Bachelor of Science in Agricultural Education and Extension</w:t>
      </w:r>
    </w:p>
    <w:p w:rsidR="009374C8" w:rsidRDefault="009374C8" w:rsidP="009374C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Bachelor of Science in Agribusiness Management</w:t>
      </w:r>
    </w:p>
    <w:p w:rsidR="000D11E1" w:rsidRPr="008D7FA2" w:rsidRDefault="000D11E1" w:rsidP="009374C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Bachelor of Science(Economics Major)</w:t>
      </w:r>
    </w:p>
    <w:p w:rsidR="009374C8" w:rsidRPr="008D7FA2" w:rsidRDefault="009374C8" w:rsidP="009374C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Master of Science in Agricultural and Applied Economics</w:t>
      </w:r>
    </w:p>
    <w:p w:rsidR="009374C8" w:rsidRPr="008D7FA2" w:rsidRDefault="009374C8" w:rsidP="009374C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Master of Science in Agricultural Information and Communication Management</w:t>
      </w:r>
    </w:p>
    <w:p w:rsidR="009374C8" w:rsidRPr="008D7FA2" w:rsidRDefault="009374C8" w:rsidP="009374C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PhD. in Agricultural Economics</w:t>
      </w:r>
    </w:p>
    <w:p w:rsidR="009374C8" w:rsidRPr="008D7FA2" w:rsidRDefault="009374C8" w:rsidP="009374C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PhD in Agricultural and Applied Economics</w:t>
      </w:r>
    </w:p>
    <w:p w:rsidR="009374C8" w:rsidRDefault="009374C8" w:rsidP="009374C8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PhD in Agricultural Information and Communication Management</w:t>
      </w:r>
    </w:p>
    <w:p w:rsidR="00C81C6B" w:rsidRPr="008D7FA2" w:rsidRDefault="00C81C6B" w:rsidP="00C81C6B">
      <w:pPr>
        <w:pStyle w:val="ListParagraph"/>
        <w:rPr>
          <w:rFonts w:ascii="Garamond" w:hAnsi="Garamond"/>
          <w:sz w:val="24"/>
          <w:szCs w:val="24"/>
        </w:rPr>
      </w:pPr>
    </w:p>
    <w:p w:rsidR="00C81C6B" w:rsidRPr="00C81C6B" w:rsidRDefault="00C81C6B" w:rsidP="00C81C6B">
      <w:pPr>
        <w:pStyle w:val="ListParagraph"/>
        <w:numPr>
          <w:ilvl w:val="0"/>
          <w:numId w:val="11"/>
        </w:numPr>
        <w:rPr>
          <w:rFonts w:ascii="Garamond" w:hAnsi="Garamond"/>
          <w:b/>
          <w:sz w:val="24"/>
          <w:szCs w:val="24"/>
        </w:rPr>
      </w:pPr>
      <w:r w:rsidRPr="00C81C6B">
        <w:rPr>
          <w:rFonts w:ascii="Garamond" w:hAnsi="Garamond"/>
          <w:b/>
          <w:sz w:val="24"/>
          <w:szCs w:val="24"/>
        </w:rPr>
        <w:t>STRATEGIC ISSUES</w:t>
      </w:r>
    </w:p>
    <w:p w:rsidR="00C81C6B" w:rsidRPr="005D4BC1" w:rsidRDefault="00C81C6B" w:rsidP="00C81C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C81C6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Department is guided by the following </w:t>
      </w:r>
      <w:r w:rsidRPr="005D4BC1">
        <w:rPr>
          <w:rFonts w:ascii="Times New Roman" w:eastAsia="Times New Roman" w:hAnsi="Times New Roman" w:cs="Times New Roman"/>
          <w:sz w:val="24"/>
          <w:szCs w:val="24"/>
          <w:lang w:val="en-GB"/>
        </w:rPr>
        <w:t>Strategic Objectives</w:t>
      </w:r>
    </w:p>
    <w:p w:rsidR="00C81C6B" w:rsidRPr="005D4BC1" w:rsidRDefault="00C81C6B" w:rsidP="00C81C6B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C81C6B" w:rsidRPr="005D4BC1" w:rsidRDefault="00C81C6B" w:rsidP="00C81C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lastRenderedPageBreak/>
        <w:t>To manage the Department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al resources </w:t>
      </w: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efficiently;</w:t>
      </w:r>
    </w:p>
    <w:p w:rsidR="00C81C6B" w:rsidRPr="005D4BC1" w:rsidRDefault="00C81C6B" w:rsidP="00C81C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 grow the Department resource base and enhance productivity;</w:t>
      </w:r>
    </w:p>
    <w:p w:rsidR="00C81C6B" w:rsidRPr="005D4BC1" w:rsidRDefault="00C81C6B" w:rsidP="00C81C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 produce quality and holistic graduates in agricultural and applied economics including agribusiness management, agricultural extension and rural development;</w:t>
      </w:r>
    </w:p>
    <w:p w:rsidR="00C81C6B" w:rsidRPr="005D4BC1" w:rsidRDefault="00C81C6B" w:rsidP="00C81C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 contribute to the development of society through creation, storage, application and dissemination of knowledge on agricultural and applied economics;</w:t>
      </w:r>
    </w:p>
    <w:p w:rsidR="00C81C6B" w:rsidRPr="005D4BC1" w:rsidRDefault="00C81C6B" w:rsidP="00C81C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To enhance the competitiveness and image of the Department as a centre of excellence in agricultural and applied economics training and research</w:t>
      </w:r>
    </w:p>
    <w:p w:rsidR="00C81C6B" w:rsidRPr="005D4BC1" w:rsidRDefault="00C81C6B" w:rsidP="00C81C6B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5D4BC1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To enhance strategic partnership and collaborations.    </w:t>
      </w:r>
    </w:p>
    <w:p w:rsidR="00C81C6B" w:rsidRDefault="00C81C6B" w:rsidP="00034253">
      <w:pPr>
        <w:rPr>
          <w:rFonts w:ascii="Garamond" w:hAnsi="Garamond"/>
          <w:b/>
          <w:sz w:val="24"/>
          <w:szCs w:val="24"/>
        </w:rPr>
      </w:pPr>
    </w:p>
    <w:p w:rsidR="00AA0167" w:rsidRPr="00AA0167" w:rsidRDefault="00C81C6B" w:rsidP="00AA0167">
      <w:pPr>
        <w:pStyle w:val="ListParagraph"/>
        <w:numPr>
          <w:ilvl w:val="0"/>
          <w:numId w:val="11"/>
        </w:numPr>
        <w:spacing w:after="0" w:line="720" w:lineRule="auto"/>
        <w:rPr>
          <w:rFonts w:ascii="Garamond" w:hAnsi="Garamond"/>
          <w:b/>
          <w:sz w:val="24"/>
          <w:szCs w:val="24"/>
        </w:rPr>
      </w:pPr>
      <w:r w:rsidRPr="00AA0167">
        <w:rPr>
          <w:rFonts w:ascii="New serif" w:hAnsi="New serif"/>
          <w:b/>
          <w:color w:val="1D2228"/>
        </w:rPr>
        <w:t xml:space="preserve">MAJOR ACHIEVEMENTS IN THE YEAR </w:t>
      </w:r>
      <w:r w:rsidRPr="00AA0167">
        <w:rPr>
          <w:rFonts w:ascii="New serif" w:hAnsi="New serif" w:hint="eastAsia"/>
          <w:b/>
          <w:color w:val="1D2228"/>
        </w:rPr>
        <w:t> </w:t>
      </w:r>
      <w:r w:rsidRPr="00AA0167">
        <w:rPr>
          <w:rFonts w:ascii="New serif" w:hAnsi="New serif"/>
          <w:b/>
          <w:color w:val="1D2228"/>
        </w:rPr>
        <w:t>2020</w:t>
      </w:r>
    </w:p>
    <w:p w:rsidR="00AA0167" w:rsidRPr="008D7FA2" w:rsidRDefault="00AA0167" w:rsidP="00AA0167">
      <w:pPr>
        <w:rPr>
          <w:rFonts w:ascii="Garamond" w:hAnsi="Garamond"/>
          <w:b/>
          <w:sz w:val="24"/>
          <w:szCs w:val="24"/>
        </w:rPr>
      </w:pPr>
      <w:r w:rsidRPr="008D7FA2">
        <w:rPr>
          <w:rFonts w:ascii="Garamond" w:hAnsi="Garamond"/>
          <w:b/>
          <w:sz w:val="24"/>
          <w:szCs w:val="24"/>
        </w:rPr>
        <w:t>Student Numbers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674"/>
        <w:gridCol w:w="5644"/>
        <w:gridCol w:w="2898"/>
      </w:tblGrid>
      <w:tr w:rsidR="00AA0167" w:rsidRPr="008D7FA2" w:rsidTr="006D6A75">
        <w:tc>
          <w:tcPr>
            <w:tcW w:w="674" w:type="dxa"/>
          </w:tcPr>
          <w:p w:rsidR="00AA0167" w:rsidRPr="008D7FA2" w:rsidRDefault="00AA0167" w:rsidP="006D6A7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D7FA2">
              <w:rPr>
                <w:rFonts w:ascii="Garamond" w:hAnsi="Garamond"/>
                <w:b/>
                <w:sz w:val="24"/>
                <w:szCs w:val="24"/>
              </w:rPr>
              <w:t>S/N</w:t>
            </w:r>
          </w:p>
        </w:tc>
        <w:tc>
          <w:tcPr>
            <w:tcW w:w="5644" w:type="dxa"/>
          </w:tcPr>
          <w:p w:rsidR="00AA0167" w:rsidRPr="008D7FA2" w:rsidRDefault="00AA0167" w:rsidP="006D6A7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D7FA2">
              <w:rPr>
                <w:rFonts w:ascii="Garamond" w:hAnsi="Garamond"/>
                <w:b/>
                <w:sz w:val="24"/>
                <w:szCs w:val="24"/>
              </w:rPr>
              <w:t>Programme</w:t>
            </w:r>
          </w:p>
        </w:tc>
        <w:tc>
          <w:tcPr>
            <w:tcW w:w="2898" w:type="dxa"/>
          </w:tcPr>
          <w:p w:rsidR="00AA0167" w:rsidRPr="008D7FA2" w:rsidRDefault="00AA0167" w:rsidP="006D6A75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8D7FA2">
              <w:rPr>
                <w:rFonts w:ascii="Garamond" w:hAnsi="Garamond"/>
                <w:b/>
                <w:sz w:val="24"/>
                <w:szCs w:val="24"/>
              </w:rPr>
              <w:t>No. of students.</w:t>
            </w:r>
          </w:p>
        </w:tc>
      </w:tr>
      <w:tr w:rsidR="00AA0167" w:rsidRPr="008D7FA2" w:rsidTr="006D6A75">
        <w:trPr>
          <w:trHeight w:val="260"/>
        </w:trPr>
        <w:tc>
          <w:tcPr>
            <w:tcW w:w="67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1.</w:t>
            </w:r>
          </w:p>
        </w:tc>
        <w:tc>
          <w:tcPr>
            <w:tcW w:w="564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Bachelor of Science in Agricultural Education and Extension</w:t>
            </w:r>
          </w:p>
        </w:tc>
        <w:tc>
          <w:tcPr>
            <w:tcW w:w="2898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356</w:t>
            </w:r>
          </w:p>
        </w:tc>
      </w:tr>
      <w:tr w:rsidR="00AA0167" w:rsidRPr="008D7FA2" w:rsidTr="006D6A75">
        <w:tc>
          <w:tcPr>
            <w:tcW w:w="67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2.</w:t>
            </w:r>
          </w:p>
        </w:tc>
        <w:tc>
          <w:tcPr>
            <w:tcW w:w="564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Bachelor of Science in Agribusiness Management</w:t>
            </w:r>
          </w:p>
        </w:tc>
        <w:tc>
          <w:tcPr>
            <w:tcW w:w="2898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313</w:t>
            </w:r>
          </w:p>
        </w:tc>
      </w:tr>
      <w:tr w:rsidR="00AA0167" w:rsidRPr="008D7FA2" w:rsidTr="006D6A75">
        <w:tc>
          <w:tcPr>
            <w:tcW w:w="67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3.</w:t>
            </w:r>
          </w:p>
        </w:tc>
        <w:tc>
          <w:tcPr>
            <w:tcW w:w="564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Master of Science in Agricultural and Applied Economics</w:t>
            </w:r>
          </w:p>
        </w:tc>
        <w:tc>
          <w:tcPr>
            <w:tcW w:w="2898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175</w:t>
            </w:r>
          </w:p>
        </w:tc>
      </w:tr>
      <w:tr w:rsidR="00AA0167" w:rsidRPr="008D7FA2" w:rsidTr="006D6A75">
        <w:tc>
          <w:tcPr>
            <w:tcW w:w="67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4.</w:t>
            </w:r>
          </w:p>
        </w:tc>
        <w:tc>
          <w:tcPr>
            <w:tcW w:w="564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Master of Science in Agricultural Information and Communication Management</w:t>
            </w:r>
          </w:p>
        </w:tc>
        <w:tc>
          <w:tcPr>
            <w:tcW w:w="2898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40</w:t>
            </w:r>
          </w:p>
        </w:tc>
      </w:tr>
      <w:tr w:rsidR="00AA0167" w:rsidRPr="008D7FA2" w:rsidTr="006D6A75">
        <w:tc>
          <w:tcPr>
            <w:tcW w:w="67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5.</w:t>
            </w:r>
          </w:p>
        </w:tc>
        <w:tc>
          <w:tcPr>
            <w:tcW w:w="564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PhD. in Agricultural Economics</w:t>
            </w:r>
          </w:p>
        </w:tc>
        <w:tc>
          <w:tcPr>
            <w:tcW w:w="2898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13</w:t>
            </w:r>
          </w:p>
        </w:tc>
      </w:tr>
      <w:tr w:rsidR="00AA0167" w:rsidRPr="008D7FA2" w:rsidTr="006D6A75">
        <w:tc>
          <w:tcPr>
            <w:tcW w:w="67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6.</w:t>
            </w:r>
          </w:p>
        </w:tc>
        <w:tc>
          <w:tcPr>
            <w:tcW w:w="564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PhD in Agricultural and Applied Economics</w:t>
            </w:r>
          </w:p>
        </w:tc>
        <w:tc>
          <w:tcPr>
            <w:tcW w:w="2898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20</w:t>
            </w:r>
          </w:p>
        </w:tc>
      </w:tr>
      <w:tr w:rsidR="00AA0167" w:rsidRPr="008D7FA2" w:rsidTr="006D6A75">
        <w:tc>
          <w:tcPr>
            <w:tcW w:w="67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7</w:t>
            </w:r>
          </w:p>
        </w:tc>
        <w:tc>
          <w:tcPr>
            <w:tcW w:w="5644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PhD in Agricultural Information and Communication Management</w:t>
            </w:r>
          </w:p>
        </w:tc>
        <w:tc>
          <w:tcPr>
            <w:tcW w:w="2898" w:type="dxa"/>
          </w:tcPr>
          <w:p w:rsidR="00AA0167" w:rsidRPr="008D7FA2" w:rsidRDefault="00AA0167" w:rsidP="006D6A75">
            <w:pPr>
              <w:rPr>
                <w:rFonts w:ascii="Garamond" w:hAnsi="Garamond"/>
                <w:sz w:val="24"/>
                <w:szCs w:val="24"/>
              </w:rPr>
            </w:pPr>
            <w:r w:rsidRPr="008D7FA2">
              <w:rPr>
                <w:rFonts w:ascii="Garamond" w:hAnsi="Garamond"/>
                <w:sz w:val="24"/>
                <w:szCs w:val="24"/>
              </w:rPr>
              <w:t>8</w:t>
            </w:r>
          </w:p>
        </w:tc>
      </w:tr>
    </w:tbl>
    <w:p w:rsidR="00AA0167" w:rsidRDefault="00AA0167" w:rsidP="00C81C6B">
      <w:pPr>
        <w:spacing w:after="0"/>
        <w:rPr>
          <w:rFonts w:ascii="Garamond" w:hAnsi="Garamond"/>
          <w:b/>
          <w:sz w:val="24"/>
          <w:szCs w:val="24"/>
        </w:rPr>
      </w:pPr>
    </w:p>
    <w:p w:rsidR="00AA0167" w:rsidRDefault="00AA0167" w:rsidP="00C81C6B">
      <w:pPr>
        <w:spacing w:after="0"/>
        <w:rPr>
          <w:rFonts w:ascii="Garamond" w:hAnsi="Garamond"/>
          <w:b/>
          <w:sz w:val="24"/>
          <w:szCs w:val="24"/>
        </w:rPr>
      </w:pPr>
    </w:p>
    <w:p w:rsidR="00AA0167" w:rsidRPr="008D7FA2" w:rsidRDefault="00AA0167" w:rsidP="00AA0167">
      <w:pPr>
        <w:jc w:val="both"/>
        <w:rPr>
          <w:rFonts w:ascii="Garamond" w:hAnsi="Garamond"/>
          <w:b/>
          <w:sz w:val="24"/>
          <w:szCs w:val="24"/>
        </w:rPr>
      </w:pPr>
      <w:r w:rsidRPr="008D7FA2">
        <w:rPr>
          <w:rFonts w:ascii="Garamond" w:hAnsi="Garamond"/>
          <w:b/>
          <w:sz w:val="24"/>
          <w:szCs w:val="24"/>
        </w:rPr>
        <w:t>International student</w:t>
      </w:r>
      <w:r>
        <w:rPr>
          <w:rFonts w:ascii="Garamond" w:hAnsi="Garamond"/>
          <w:b/>
          <w:sz w:val="24"/>
          <w:szCs w:val="24"/>
        </w:rPr>
        <w:t>s</w:t>
      </w:r>
      <w:r w:rsidRPr="008D7FA2">
        <w:rPr>
          <w:rFonts w:ascii="Garamond" w:hAnsi="Garamond"/>
          <w:b/>
          <w:sz w:val="24"/>
          <w:szCs w:val="24"/>
        </w:rPr>
        <w:t xml:space="preserve"> </w:t>
      </w:r>
    </w:p>
    <w:p w:rsidR="00AA0167" w:rsidRPr="008D7FA2" w:rsidRDefault="00AA0167" w:rsidP="00AA0167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There were</w:t>
      </w:r>
      <w:r w:rsidRPr="008D7FA2">
        <w:rPr>
          <w:rFonts w:ascii="Garamond" w:hAnsi="Garamond"/>
          <w:sz w:val="24"/>
          <w:szCs w:val="24"/>
        </w:rPr>
        <w:t xml:space="preserve"> 41 students under this category from across African continent e.g Liberia Malawi, Ghana, Nigeria, Botswana, Rwanda, Burundi, Tanzania, Uganda and South Sudan</w:t>
      </w:r>
      <w:r>
        <w:rPr>
          <w:rFonts w:ascii="Garamond" w:hAnsi="Garamond"/>
          <w:sz w:val="24"/>
          <w:szCs w:val="24"/>
        </w:rPr>
        <w:t>.  The number increased by</w:t>
      </w:r>
      <w:r w:rsidRPr="008D7FA2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5.6% from that of last year </w:t>
      </w:r>
    </w:p>
    <w:p w:rsidR="00AA0167" w:rsidRDefault="00AA0167" w:rsidP="00C81C6B">
      <w:pPr>
        <w:spacing w:after="0"/>
        <w:rPr>
          <w:rFonts w:ascii="Garamond" w:hAnsi="Garamond"/>
          <w:b/>
          <w:sz w:val="24"/>
          <w:szCs w:val="24"/>
        </w:rPr>
      </w:pPr>
    </w:p>
    <w:p w:rsidR="00C81C6B" w:rsidRPr="00AA0167" w:rsidRDefault="00C81C6B" w:rsidP="00C81C6B">
      <w:pPr>
        <w:spacing w:after="0"/>
        <w:rPr>
          <w:rFonts w:ascii="Garamond" w:hAnsi="Garamond"/>
          <w:b/>
          <w:sz w:val="24"/>
          <w:szCs w:val="24"/>
        </w:rPr>
      </w:pPr>
      <w:r w:rsidRPr="00AA0167">
        <w:rPr>
          <w:rFonts w:ascii="Garamond" w:hAnsi="Garamond"/>
          <w:b/>
          <w:sz w:val="24"/>
          <w:szCs w:val="24"/>
        </w:rPr>
        <w:t>The department was actively involved in the following research activities</w:t>
      </w:r>
      <w:r w:rsidR="000D11E1" w:rsidRPr="00AA0167">
        <w:rPr>
          <w:rFonts w:ascii="Garamond" w:hAnsi="Garamond"/>
          <w:b/>
          <w:sz w:val="24"/>
          <w:szCs w:val="24"/>
        </w:rPr>
        <w:t>:</w:t>
      </w:r>
    </w:p>
    <w:p w:rsidR="00C81C6B" w:rsidRPr="008D7FA2" w:rsidRDefault="00C81C6B" w:rsidP="00C81C6B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 xml:space="preserve">Analysis of </w:t>
      </w:r>
      <w:r w:rsidR="000D11E1" w:rsidRPr="008D7FA2">
        <w:rPr>
          <w:rFonts w:ascii="Garamond" w:hAnsi="Garamond"/>
          <w:sz w:val="24"/>
          <w:szCs w:val="24"/>
        </w:rPr>
        <w:t>the</w:t>
      </w:r>
      <w:r w:rsidRPr="008D7FA2">
        <w:rPr>
          <w:rFonts w:ascii="Garamond" w:hAnsi="Garamond"/>
          <w:sz w:val="24"/>
          <w:szCs w:val="24"/>
        </w:rPr>
        <w:t xml:space="preserve"> Socio-Economic Contribution of Donkeys Ownership </w:t>
      </w:r>
      <w:r w:rsidR="000D11E1" w:rsidRPr="008D7FA2">
        <w:rPr>
          <w:rFonts w:ascii="Garamond" w:hAnsi="Garamond"/>
          <w:sz w:val="24"/>
          <w:szCs w:val="24"/>
        </w:rPr>
        <w:t>and</w:t>
      </w:r>
      <w:r w:rsidRPr="008D7FA2">
        <w:rPr>
          <w:rFonts w:ascii="Garamond" w:hAnsi="Garamond"/>
          <w:sz w:val="24"/>
          <w:szCs w:val="24"/>
        </w:rPr>
        <w:t xml:space="preserve"> Use </w:t>
      </w:r>
      <w:r w:rsidR="000D11E1" w:rsidRPr="008D7FA2">
        <w:rPr>
          <w:rFonts w:ascii="Garamond" w:hAnsi="Garamond"/>
          <w:sz w:val="24"/>
          <w:szCs w:val="24"/>
        </w:rPr>
        <w:t>to</w:t>
      </w:r>
      <w:r w:rsidRPr="008D7FA2">
        <w:rPr>
          <w:rFonts w:ascii="Garamond" w:hAnsi="Garamond"/>
          <w:sz w:val="24"/>
          <w:szCs w:val="24"/>
        </w:rPr>
        <w:t xml:space="preserve"> Household Livelihoods </w:t>
      </w:r>
      <w:r w:rsidR="000D11E1" w:rsidRPr="008D7FA2">
        <w:rPr>
          <w:rFonts w:ascii="Garamond" w:hAnsi="Garamond"/>
          <w:sz w:val="24"/>
          <w:szCs w:val="24"/>
        </w:rPr>
        <w:t>in</w:t>
      </w:r>
      <w:r w:rsidRPr="008D7FA2">
        <w:rPr>
          <w:rFonts w:ascii="Garamond" w:hAnsi="Garamond"/>
          <w:sz w:val="24"/>
          <w:szCs w:val="24"/>
        </w:rPr>
        <w:t xml:space="preserve"> Kiambu County </w:t>
      </w:r>
    </w:p>
    <w:p w:rsidR="00C81C6B" w:rsidRPr="008D7FA2" w:rsidRDefault="00C81C6B" w:rsidP="00C81C6B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 xml:space="preserve">Impact of Rural and Community Bank Credit Access on Technical Efficiency of Smallholder Cassava Farmers in Fanteakwa District of Ghana </w:t>
      </w:r>
    </w:p>
    <w:p w:rsidR="00C81C6B" w:rsidRPr="008D7FA2" w:rsidRDefault="00C81C6B" w:rsidP="00C81C6B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lastRenderedPageBreak/>
        <w:t xml:space="preserve">Assessment of Livestock Farmers’ Preferences for Integration of Community-Owned Resource Persons and Interrelationships in Animal Trypanosomiasis Management Methods in Kwale County, Kenya </w:t>
      </w:r>
    </w:p>
    <w:p w:rsidR="00C81C6B" w:rsidRPr="008D7FA2" w:rsidRDefault="00C81C6B" w:rsidP="00C81C6B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Assessment of the Effectiveness of Communication Channels Used in the Dissemination of Reproductive Technologies in Dairy Cattle in Kangema, Murang’a County</w:t>
      </w:r>
    </w:p>
    <w:p w:rsidR="00C81C6B" w:rsidRPr="008D7FA2" w:rsidRDefault="00C81C6B" w:rsidP="00C81C6B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Participation in Contract Farming and its Effects on Technical Efficiency and Income of Vegetable Farmers in Western Kenya</w:t>
      </w:r>
    </w:p>
    <w:p w:rsidR="00C81C6B" w:rsidRPr="008D7FA2" w:rsidRDefault="00C81C6B" w:rsidP="00C81C6B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Comparative gendered assessment of productivity, technical efficiency and technology gaps of sorghum plots in three districts of Uganda</w:t>
      </w:r>
    </w:p>
    <w:p w:rsidR="00C81C6B" w:rsidRPr="008D7FA2" w:rsidRDefault="00C81C6B" w:rsidP="00C81C6B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An economic evaluation of the role of land and livestock dynamics in livelihood diversification in Baringo County, Kenya</w:t>
      </w:r>
    </w:p>
    <w:p w:rsidR="00C81C6B" w:rsidRPr="008D7FA2" w:rsidRDefault="00C81C6B" w:rsidP="00C81C6B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 xml:space="preserve">Effects of Integrated Nutrition Education Approaches of the Production and Consumption of Orange-Fleshed Sweetpotatoes in Homa Bay County, Kenya </w:t>
      </w:r>
    </w:p>
    <w:p w:rsidR="009F4DF8" w:rsidRPr="008D7FA2" w:rsidRDefault="009F4DF8" w:rsidP="009374C8">
      <w:pPr>
        <w:rPr>
          <w:rFonts w:ascii="Garamond" w:hAnsi="Garamond"/>
          <w:sz w:val="24"/>
          <w:szCs w:val="24"/>
        </w:rPr>
      </w:pPr>
      <w:r w:rsidRPr="008D7FA2">
        <w:rPr>
          <w:rFonts w:ascii="Garamond" w:hAnsi="Garamond"/>
          <w:sz w:val="24"/>
          <w:szCs w:val="24"/>
        </w:rPr>
        <w:t>An assessment of smallholder livestock keepers’ willingness-to-pay for cattle insurance attributes in Botswana: the case of Central District</w:t>
      </w:r>
    </w:p>
    <w:p w:rsidR="009F4DF8" w:rsidRDefault="009F4DF8" w:rsidP="009374C8">
      <w:pPr>
        <w:rPr>
          <w:rFonts w:ascii="Garamond" w:hAnsi="Garamond"/>
          <w:sz w:val="24"/>
          <w:szCs w:val="24"/>
        </w:rPr>
      </w:pPr>
      <w:r w:rsidRPr="008D7FA2">
        <w:rPr>
          <w:rStyle w:val="Strong"/>
          <w:rFonts w:ascii="Garamond" w:hAnsi="Garamond"/>
          <w:sz w:val="24"/>
          <w:szCs w:val="24"/>
        </w:rPr>
        <w:t>  </w:t>
      </w:r>
      <w:r w:rsidRPr="008D7FA2">
        <w:rPr>
          <w:rFonts w:ascii="Garamond" w:hAnsi="Garamond"/>
          <w:sz w:val="24"/>
          <w:szCs w:val="24"/>
        </w:rPr>
        <w:t xml:space="preserve">An Economic Assessment </w:t>
      </w:r>
      <w:r w:rsidR="000D11E1" w:rsidRPr="008D7FA2">
        <w:rPr>
          <w:rFonts w:ascii="Garamond" w:hAnsi="Garamond"/>
          <w:sz w:val="24"/>
          <w:szCs w:val="24"/>
        </w:rPr>
        <w:t>of</w:t>
      </w:r>
      <w:r w:rsidRPr="008D7FA2">
        <w:rPr>
          <w:rFonts w:ascii="Garamond" w:hAnsi="Garamond"/>
          <w:sz w:val="24"/>
          <w:szCs w:val="24"/>
        </w:rPr>
        <w:t xml:space="preserve"> </w:t>
      </w:r>
      <w:r w:rsidR="000D11E1" w:rsidRPr="008D7FA2">
        <w:rPr>
          <w:rFonts w:ascii="Garamond" w:hAnsi="Garamond"/>
          <w:sz w:val="24"/>
          <w:szCs w:val="24"/>
        </w:rPr>
        <w:t>the</w:t>
      </w:r>
      <w:r w:rsidRPr="008D7FA2">
        <w:rPr>
          <w:rFonts w:ascii="Garamond" w:hAnsi="Garamond"/>
          <w:sz w:val="24"/>
          <w:szCs w:val="24"/>
        </w:rPr>
        <w:t xml:space="preserve"> Factors That Influence Smallholder Farmer Participation In Export Markets As A Case Of High Value Ma</w:t>
      </w:r>
      <w:r w:rsidR="00AA0167">
        <w:rPr>
          <w:rFonts w:ascii="Garamond" w:hAnsi="Garamond"/>
          <w:sz w:val="24"/>
          <w:szCs w:val="24"/>
        </w:rPr>
        <w:t xml:space="preserve">ngo Markets In Southern Ghana </w:t>
      </w:r>
    </w:p>
    <w:p w:rsidR="001E2FDB" w:rsidRDefault="001E2FDB" w:rsidP="009374C8"/>
    <w:p w:rsidR="00AA0167" w:rsidRPr="00AA0167" w:rsidRDefault="00AA0167" w:rsidP="00AA0167">
      <w:pPr>
        <w:pStyle w:val="ListParagraph"/>
        <w:numPr>
          <w:ilvl w:val="0"/>
          <w:numId w:val="11"/>
        </w:numPr>
        <w:rPr>
          <w:b/>
        </w:rPr>
      </w:pPr>
      <w:r w:rsidRPr="00AA0167">
        <w:rPr>
          <w:rFonts w:ascii="New serif" w:hAnsi="New serif"/>
          <w:b/>
          <w:color w:val="1D2228"/>
        </w:rPr>
        <w:t>CORPORATE AND COMMUNITY OUTREACH ACTIVITIES</w:t>
      </w:r>
    </w:p>
    <w:p w:rsidR="00AA0167" w:rsidRDefault="00AA0167" w:rsidP="009374C8">
      <w:r>
        <w:t>The department was involved in tree planting and community projects such schools in a number of countries. Some staff members are in the school boards (BOMs) and other are involved in mentorship activities of st</w:t>
      </w:r>
      <w:r w:rsidR="003C34FE">
        <w:t>udents and pupils</w:t>
      </w:r>
      <w:r>
        <w:t>.</w:t>
      </w:r>
    </w:p>
    <w:p w:rsidR="003C34FE" w:rsidRPr="003C34FE" w:rsidRDefault="003C34FE" w:rsidP="003C34FE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New serif" w:hAnsi="New serif"/>
          <w:b/>
          <w:color w:val="1D2228"/>
          <w:sz w:val="20"/>
          <w:szCs w:val="20"/>
        </w:rPr>
      </w:pPr>
      <w:r w:rsidRPr="003C34FE">
        <w:rPr>
          <w:rFonts w:ascii="New serif" w:hAnsi="New serif"/>
          <w:b/>
          <w:color w:val="1D2228"/>
        </w:rPr>
        <w:t>STAFF PORTFOLIO</w:t>
      </w:r>
    </w:p>
    <w:tbl>
      <w:tblPr>
        <w:tblW w:w="0" w:type="auto"/>
        <w:tblInd w:w="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0"/>
        <w:gridCol w:w="810"/>
        <w:gridCol w:w="1080"/>
        <w:gridCol w:w="1080"/>
        <w:gridCol w:w="1440"/>
      </w:tblGrid>
      <w:tr w:rsidR="003C34FE" w:rsidRPr="003C34FE" w:rsidTr="006D6A75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Calibri" w:eastAsia="Calibri" w:hAnsi="Calibri" w:cs="Times New Roman"/>
              </w:rPr>
              <w:tab/>
            </w:r>
            <w:r w:rsidRPr="003C3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Cadre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Male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No. Female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No.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Number of PhD Holders</w:t>
            </w:r>
          </w:p>
        </w:tc>
      </w:tr>
      <w:tr w:rsidR="003C34FE" w:rsidRPr="003C34FE" w:rsidTr="006D6A75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Full Professors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C34FE" w:rsidRPr="003C34FE" w:rsidTr="006D6A75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 Professors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C34FE" w:rsidRPr="003C34FE" w:rsidTr="006D6A75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Senior Lecturers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4FE" w:rsidRPr="003C34FE" w:rsidTr="006D6A75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Lecturers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C34FE" w:rsidRPr="003C34FE" w:rsidTr="006D6A75">
        <w:tc>
          <w:tcPr>
            <w:tcW w:w="2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Assistant Lecturers/Tutorial Fellows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34FE" w:rsidRPr="003C34FE" w:rsidRDefault="003C34FE" w:rsidP="003C34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C34F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C34FE" w:rsidRDefault="003C34FE" w:rsidP="003C34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Symbol" w:hAnsi="Symbol"/>
          <w:color w:val="1D2228"/>
        </w:rPr>
      </w:pPr>
    </w:p>
    <w:p w:rsidR="003C34FE" w:rsidRPr="00791880" w:rsidRDefault="003C34FE" w:rsidP="003C34FE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New serif" w:hAnsi="New serif"/>
          <w:b/>
          <w:color w:val="1D2228"/>
          <w:sz w:val="20"/>
          <w:szCs w:val="20"/>
        </w:rPr>
      </w:pPr>
      <w:r w:rsidRPr="003C34FE">
        <w:rPr>
          <w:rFonts w:ascii="New serif" w:hAnsi="New serif"/>
          <w:b/>
          <w:color w:val="1D2228"/>
        </w:rPr>
        <w:lastRenderedPageBreak/>
        <w:t>PROJECTIONS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after="0"/>
        <w:jc w:val="both"/>
        <w:rPr>
          <w:color w:val="1D2228"/>
        </w:rPr>
      </w:pPr>
      <w:r w:rsidRPr="00791880">
        <w:rPr>
          <w:color w:val="1D2228"/>
        </w:rPr>
        <w:t>Increased staff motivation and commitment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after="0"/>
        <w:jc w:val="both"/>
        <w:rPr>
          <w:color w:val="1D2228"/>
        </w:rPr>
      </w:pPr>
      <w:r w:rsidRPr="00791880">
        <w:rPr>
          <w:color w:val="1D2228"/>
        </w:rPr>
        <w:t>Improved quality and delivery of teaching and learning programmes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after="0"/>
        <w:jc w:val="both"/>
        <w:rPr>
          <w:color w:val="1D2228"/>
        </w:rPr>
      </w:pPr>
      <w:r w:rsidRPr="00791880">
        <w:rPr>
          <w:color w:val="1D2228"/>
        </w:rPr>
        <w:t>Improved employability of graduates in diversified fields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after="0"/>
        <w:jc w:val="both"/>
        <w:rPr>
          <w:color w:val="1D2228"/>
        </w:rPr>
      </w:pPr>
      <w:r w:rsidRPr="00791880">
        <w:rPr>
          <w:color w:val="1D2228"/>
        </w:rPr>
        <w:t xml:space="preserve">Increased internationalization of the </w:t>
      </w:r>
      <w:r>
        <w:rPr>
          <w:color w:val="1D2228"/>
        </w:rPr>
        <w:t xml:space="preserve">Department 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after="0"/>
        <w:jc w:val="both"/>
        <w:rPr>
          <w:color w:val="1D2228"/>
        </w:rPr>
      </w:pPr>
      <w:r w:rsidRPr="00791880">
        <w:rPr>
          <w:color w:val="1D2228"/>
        </w:rPr>
        <w:t>Increased number of graduate students in diverse fields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after="0"/>
        <w:jc w:val="both"/>
        <w:rPr>
          <w:color w:val="1D2228"/>
        </w:rPr>
      </w:pPr>
      <w:r w:rsidRPr="00791880">
        <w:rPr>
          <w:color w:val="1D2228"/>
        </w:rPr>
        <w:t>Increased visibility</w:t>
      </w:r>
      <w:r>
        <w:rPr>
          <w:color w:val="1D2228"/>
        </w:rPr>
        <w:t xml:space="preserve"> and uptake of Department</w:t>
      </w:r>
      <w:r w:rsidRPr="00791880">
        <w:rPr>
          <w:color w:val="1D2228"/>
        </w:rPr>
        <w:t xml:space="preserve"> research output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after="0"/>
        <w:jc w:val="both"/>
        <w:rPr>
          <w:color w:val="1D2228"/>
        </w:rPr>
      </w:pPr>
      <w:r w:rsidRPr="00791880">
        <w:rPr>
          <w:color w:val="1D2228"/>
        </w:rPr>
        <w:t>Enhanced student satisfaction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after="0"/>
        <w:jc w:val="both"/>
        <w:rPr>
          <w:color w:val="1D2228"/>
        </w:rPr>
      </w:pPr>
      <w:r>
        <w:rPr>
          <w:color w:val="1D2228"/>
        </w:rPr>
        <w:t xml:space="preserve">Improved staff </w:t>
      </w:r>
      <w:r w:rsidRPr="00791880">
        <w:rPr>
          <w:color w:val="1D2228"/>
        </w:rPr>
        <w:t>satisfaction</w:t>
      </w:r>
    </w:p>
    <w:p w:rsidR="00791880" w:rsidRPr="00791880" w:rsidRDefault="00791880" w:rsidP="00791880">
      <w:pPr>
        <w:pStyle w:val="NormalWeb"/>
        <w:numPr>
          <w:ilvl w:val="1"/>
          <w:numId w:val="12"/>
        </w:numPr>
        <w:shd w:val="clear" w:color="auto" w:fill="FFFFFF"/>
        <w:spacing w:before="0" w:beforeAutospacing="0" w:after="0" w:afterAutospacing="0"/>
        <w:jc w:val="both"/>
        <w:rPr>
          <w:color w:val="1D2228"/>
        </w:rPr>
      </w:pPr>
      <w:r w:rsidRPr="00791880">
        <w:rPr>
          <w:color w:val="1D2228"/>
        </w:rPr>
        <w:t>Increased staff productivity</w:t>
      </w:r>
    </w:p>
    <w:p w:rsidR="00791880" w:rsidRPr="00791880" w:rsidRDefault="00791880" w:rsidP="0079188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1D2228"/>
        </w:rPr>
      </w:pPr>
    </w:p>
    <w:p w:rsidR="00791880" w:rsidRPr="00791880" w:rsidRDefault="00791880" w:rsidP="00791880">
      <w:pPr>
        <w:pStyle w:val="NormalWeb"/>
        <w:shd w:val="clear" w:color="auto" w:fill="FFFFFF"/>
        <w:spacing w:before="0" w:beforeAutospacing="0" w:after="0" w:afterAutospacing="0"/>
        <w:ind w:left="360"/>
        <w:jc w:val="both"/>
        <w:rPr>
          <w:color w:val="1D2228"/>
        </w:rPr>
      </w:pPr>
    </w:p>
    <w:p w:rsidR="003C34FE" w:rsidRPr="003C34FE" w:rsidRDefault="003C34FE" w:rsidP="003C34F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ew serif" w:hAnsi="New serif"/>
          <w:b/>
          <w:color w:val="1D2228"/>
          <w:sz w:val="20"/>
          <w:szCs w:val="20"/>
        </w:rPr>
      </w:pPr>
    </w:p>
    <w:p w:rsidR="003C34FE" w:rsidRPr="00791880" w:rsidRDefault="00791880" w:rsidP="0079188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New serif" w:hAnsi="New serif"/>
          <w:b/>
          <w:color w:val="1D2228"/>
          <w:sz w:val="20"/>
          <w:szCs w:val="20"/>
        </w:rPr>
      </w:pPr>
      <w:r w:rsidRPr="00791880">
        <w:rPr>
          <w:rFonts w:ascii="New" w:hAnsi="New" w:hint="eastAsia"/>
          <w:b/>
          <w:color w:val="1D2228"/>
          <w:sz w:val="14"/>
          <w:szCs w:val="14"/>
        </w:rPr>
        <w:t> </w:t>
      </w:r>
      <w:r w:rsidRPr="00791880">
        <w:rPr>
          <w:rFonts w:ascii="New serif" w:hAnsi="New serif"/>
          <w:b/>
          <w:color w:val="1D2228"/>
        </w:rPr>
        <w:t>ANY OTHER PERTINENT INFORMATION/ISSUE IN THE YEAR 2020.</w:t>
      </w:r>
    </w:p>
    <w:p w:rsidR="003C34FE" w:rsidRDefault="003C34FE" w:rsidP="009374C8"/>
    <w:p w:rsidR="002A5D77" w:rsidRPr="002A5D77" w:rsidRDefault="002A5D77" w:rsidP="002A5D77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The Department participated in a workshop organized </w:t>
      </w:r>
      <w:r w:rsidRPr="002A5D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AERC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at Egerton University </w:t>
      </w:r>
      <w:r w:rsidRPr="002A5D77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whose main purpose is to disseminate research findings on the area of technology adoption, gender and trade for rural development. The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Department had three students presenting workshop papers in this workshop </w:t>
      </w:r>
    </w:p>
    <w:p w:rsidR="009A3E9C" w:rsidRDefault="009A3E9C" w:rsidP="009374C8"/>
    <w:sectPr w:rsidR="009A3E9C" w:rsidSect="001E70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New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151B"/>
    <w:multiLevelType w:val="hybridMultilevel"/>
    <w:tmpl w:val="BE6245D0"/>
    <w:lvl w:ilvl="0" w:tplc="3AD0D1B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F843B72">
      <w:numFmt w:val="none"/>
      <w:lvlText w:val=""/>
      <w:lvlJc w:val="left"/>
      <w:pPr>
        <w:tabs>
          <w:tab w:val="num" w:pos="360"/>
        </w:tabs>
      </w:pPr>
    </w:lvl>
    <w:lvl w:ilvl="2" w:tplc="DFBE1988">
      <w:numFmt w:val="none"/>
      <w:lvlText w:val=""/>
      <w:lvlJc w:val="left"/>
      <w:pPr>
        <w:tabs>
          <w:tab w:val="num" w:pos="360"/>
        </w:tabs>
      </w:pPr>
    </w:lvl>
    <w:lvl w:ilvl="3" w:tplc="04090017">
      <w:start w:val="1"/>
      <w:numFmt w:val="lowerLetter"/>
      <w:lvlText w:val="%4)"/>
      <w:lvlJc w:val="left"/>
      <w:pPr>
        <w:ind w:left="360" w:hanging="360"/>
      </w:pPr>
      <w:rPr>
        <w:rFonts w:hint="default"/>
      </w:rPr>
    </w:lvl>
    <w:lvl w:ilvl="4" w:tplc="32C047AC">
      <w:numFmt w:val="none"/>
      <w:lvlText w:val=""/>
      <w:lvlJc w:val="left"/>
      <w:pPr>
        <w:tabs>
          <w:tab w:val="num" w:pos="360"/>
        </w:tabs>
      </w:pPr>
    </w:lvl>
    <w:lvl w:ilvl="5" w:tplc="27F090CC">
      <w:numFmt w:val="none"/>
      <w:lvlText w:val=""/>
      <w:lvlJc w:val="left"/>
      <w:pPr>
        <w:tabs>
          <w:tab w:val="num" w:pos="360"/>
        </w:tabs>
      </w:pPr>
    </w:lvl>
    <w:lvl w:ilvl="6" w:tplc="5C98A8A2">
      <w:numFmt w:val="none"/>
      <w:lvlText w:val=""/>
      <w:lvlJc w:val="left"/>
      <w:pPr>
        <w:tabs>
          <w:tab w:val="num" w:pos="360"/>
        </w:tabs>
      </w:pPr>
    </w:lvl>
    <w:lvl w:ilvl="7" w:tplc="FBFA2FDE">
      <w:numFmt w:val="none"/>
      <w:lvlText w:val=""/>
      <w:lvlJc w:val="left"/>
      <w:pPr>
        <w:tabs>
          <w:tab w:val="num" w:pos="360"/>
        </w:tabs>
      </w:pPr>
    </w:lvl>
    <w:lvl w:ilvl="8" w:tplc="D5886FA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E923181"/>
    <w:multiLevelType w:val="hybridMultilevel"/>
    <w:tmpl w:val="D6EE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36246"/>
    <w:multiLevelType w:val="hybridMultilevel"/>
    <w:tmpl w:val="DF08E81A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1B6E104E"/>
    <w:multiLevelType w:val="hybridMultilevel"/>
    <w:tmpl w:val="D6EE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17945"/>
    <w:multiLevelType w:val="hybridMultilevel"/>
    <w:tmpl w:val="D6EE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D07C60"/>
    <w:multiLevelType w:val="hybridMultilevel"/>
    <w:tmpl w:val="D6EE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1E6CB3"/>
    <w:multiLevelType w:val="hybridMultilevel"/>
    <w:tmpl w:val="D6EE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F5116E"/>
    <w:multiLevelType w:val="hybridMultilevel"/>
    <w:tmpl w:val="D6EE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F4F"/>
    <w:multiLevelType w:val="hybridMultilevel"/>
    <w:tmpl w:val="BE8A3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51177"/>
    <w:multiLevelType w:val="hybridMultilevel"/>
    <w:tmpl w:val="D6EE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2450EB"/>
    <w:multiLevelType w:val="hybridMultilevel"/>
    <w:tmpl w:val="28B032BA"/>
    <w:lvl w:ilvl="0" w:tplc="AD0C30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481EAF"/>
    <w:multiLevelType w:val="hybridMultilevel"/>
    <w:tmpl w:val="D6EE1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5"/>
  </w:num>
  <w:num w:numId="6">
    <w:abstractNumId w:val="11"/>
  </w:num>
  <w:num w:numId="7">
    <w:abstractNumId w:val="4"/>
  </w:num>
  <w:num w:numId="8">
    <w:abstractNumId w:val="1"/>
  </w:num>
  <w:num w:numId="9">
    <w:abstractNumId w:val="0"/>
  </w:num>
  <w:num w:numId="10">
    <w:abstractNumId w:val="2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4C8"/>
    <w:rsid w:val="00034253"/>
    <w:rsid w:val="0007419F"/>
    <w:rsid w:val="000D11E1"/>
    <w:rsid w:val="001E2FDB"/>
    <w:rsid w:val="001E7091"/>
    <w:rsid w:val="002A5D77"/>
    <w:rsid w:val="002F3A36"/>
    <w:rsid w:val="00324C31"/>
    <w:rsid w:val="003C34FE"/>
    <w:rsid w:val="00436F5D"/>
    <w:rsid w:val="004A2D33"/>
    <w:rsid w:val="004C0A90"/>
    <w:rsid w:val="0052265E"/>
    <w:rsid w:val="00534496"/>
    <w:rsid w:val="005D4BC1"/>
    <w:rsid w:val="005F6F5C"/>
    <w:rsid w:val="006A3D18"/>
    <w:rsid w:val="00703B1C"/>
    <w:rsid w:val="0076274F"/>
    <w:rsid w:val="00765D18"/>
    <w:rsid w:val="00791880"/>
    <w:rsid w:val="007A6D0F"/>
    <w:rsid w:val="0088021E"/>
    <w:rsid w:val="008D7FA2"/>
    <w:rsid w:val="009374C8"/>
    <w:rsid w:val="00990897"/>
    <w:rsid w:val="009A3E9C"/>
    <w:rsid w:val="009A6449"/>
    <w:rsid w:val="009F4DF8"/>
    <w:rsid w:val="00A53BA0"/>
    <w:rsid w:val="00AA0167"/>
    <w:rsid w:val="00AB650D"/>
    <w:rsid w:val="00B11CC1"/>
    <w:rsid w:val="00B851EF"/>
    <w:rsid w:val="00C81C6B"/>
    <w:rsid w:val="00CD19E1"/>
    <w:rsid w:val="00D806E0"/>
    <w:rsid w:val="00DC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91"/>
  </w:style>
  <w:style w:type="paragraph" w:styleId="Heading1">
    <w:name w:val="heading 1"/>
    <w:basedOn w:val="Normal"/>
    <w:next w:val="Normal"/>
    <w:link w:val="Heading1Char"/>
    <w:uiPriority w:val="9"/>
    <w:qFormat/>
    <w:rsid w:val="00990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C8"/>
    <w:pPr>
      <w:ind w:left="720"/>
      <w:contextualSpacing/>
    </w:pPr>
  </w:style>
  <w:style w:type="table" w:styleId="TableGrid">
    <w:name w:val="Table Grid"/>
    <w:basedOn w:val="TableNormal"/>
    <w:uiPriority w:val="59"/>
    <w:rsid w:val="0043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90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90897"/>
    <w:rPr>
      <w:color w:val="0000FF"/>
      <w:u w:val="single"/>
    </w:rPr>
  </w:style>
  <w:style w:type="character" w:customStyle="1" w:styleId="nlmarticle-title">
    <w:name w:val="nlm_article-title"/>
    <w:basedOn w:val="DefaultParagraphFont"/>
    <w:rsid w:val="00990897"/>
  </w:style>
  <w:style w:type="character" w:customStyle="1" w:styleId="contribdegrees">
    <w:name w:val="contribdegrees"/>
    <w:basedOn w:val="DefaultParagraphFont"/>
    <w:rsid w:val="00990897"/>
  </w:style>
  <w:style w:type="paragraph" w:styleId="NoSpacing">
    <w:name w:val="No Spacing"/>
    <w:uiPriority w:val="1"/>
    <w:qFormat/>
    <w:rsid w:val="006A3D1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F4DF8"/>
    <w:rPr>
      <w:b/>
      <w:bCs/>
    </w:rPr>
  </w:style>
  <w:style w:type="paragraph" w:styleId="NormalWeb">
    <w:name w:val="Normal (Web)"/>
    <w:basedOn w:val="Normal"/>
    <w:uiPriority w:val="99"/>
    <w:unhideWhenUsed/>
    <w:rsid w:val="0070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B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091"/>
  </w:style>
  <w:style w:type="paragraph" w:styleId="Heading1">
    <w:name w:val="heading 1"/>
    <w:basedOn w:val="Normal"/>
    <w:next w:val="Normal"/>
    <w:link w:val="Heading1Char"/>
    <w:uiPriority w:val="9"/>
    <w:qFormat/>
    <w:rsid w:val="0099089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B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4C8"/>
    <w:pPr>
      <w:ind w:left="720"/>
      <w:contextualSpacing/>
    </w:pPr>
  </w:style>
  <w:style w:type="table" w:styleId="TableGrid">
    <w:name w:val="Table Grid"/>
    <w:basedOn w:val="TableNormal"/>
    <w:uiPriority w:val="59"/>
    <w:rsid w:val="00436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99089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990897"/>
    <w:rPr>
      <w:color w:val="0000FF"/>
      <w:u w:val="single"/>
    </w:rPr>
  </w:style>
  <w:style w:type="character" w:customStyle="1" w:styleId="nlmarticle-title">
    <w:name w:val="nlm_article-title"/>
    <w:basedOn w:val="DefaultParagraphFont"/>
    <w:rsid w:val="00990897"/>
  </w:style>
  <w:style w:type="character" w:customStyle="1" w:styleId="contribdegrees">
    <w:name w:val="contribdegrees"/>
    <w:basedOn w:val="DefaultParagraphFont"/>
    <w:rsid w:val="00990897"/>
  </w:style>
  <w:style w:type="paragraph" w:styleId="NoSpacing">
    <w:name w:val="No Spacing"/>
    <w:uiPriority w:val="1"/>
    <w:qFormat/>
    <w:rsid w:val="006A3D1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9F4DF8"/>
    <w:rPr>
      <w:b/>
      <w:bCs/>
    </w:rPr>
  </w:style>
  <w:style w:type="paragraph" w:styleId="NormalWeb">
    <w:name w:val="Normal (Web)"/>
    <w:basedOn w:val="Normal"/>
    <w:uiPriority w:val="99"/>
    <w:unhideWhenUsed/>
    <w:rsid w:val="00703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B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5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Agripina Mutimba Singa</dc:creator>
  <cp:lastModifiedBy>USER</cp:lastModifiedBy>
  <cp:revision>2</cp:revision>
  <dcterms:created xsi:type="dcterms:W3CDTF">2021-05-16T14:56:00Z</dcterms:created>
  <dcterms:modified xsi:type="dcterms:W3CDTF">2021-05-16T14:56:00Z</dcterms:modified>
</cp:coreProperties>
</file>